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48AB1" w14:textId="05085282" w:rsidR="008577AC" w:rsidRPr="005C5756" w:rsidRDefault="008577AC" w:rsidP="008577AC">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hint="eastAsia"/>
          <w:b/>
          <w:noProof/>
          <w:sz w:val="24"/>
          <w:lang w:val="en-US" w:eastAsia="ko-KR"/>
        </w:rPr>
        <w:t>#</w:t>
      </w:r>
      <w:r>
        <w:rPr>
          <w:rFonts w:ascii="Arial" w:hAnsi="Arial"/>
          <w:b/>
          <w:noProof/>
          <w:sz w:val="24"/>
          <w:lang w:val="en-US" w:eastAsia="ko-KR"/>
        </w:rPr>
        <w:t>10</w:t>
      </w:r>
      <w:r w:rsidR="009822B8">
        <w:rPr>
          <w:rFonts w:ascii="Arial" w:hAnsi="Arial"/>
          <w:b/>
          <w:noProof/>
          <w:sz w:val="24"/>
          <w:lang w:val="en-US" w:eastAsia="ko-KR"/>
        </w:rPr>
        <w:t>5</w:t>
      </w:r>
      <w:r>
        <w:rPr>
          <w:b/>
          <w:sz w:val="24"/>
          <w:lang w:val="sv-SE"/>
        </w:rPr>
        <w:tab/>
      </w:r>
      <w:r>
        <w:rPr>
          <w:b/>
          <w:sz w:val="24"/>
          <w:lang w:val="sv-SE"/>
        </w:rPr>
        <w:tab/>
      </w:r>
      <w:r>
        <w:rPr>
          <w:b/>
          <w:sz w:val="24"/>
          <w:lang w:val="sv-SE"/>
        </w:rPr>
        <w:tab/>
      </w:r>
      <w:r>
        <w:rPr>
          <w:rFonts w:hint="eastAsia"/>
          <w:b/>
          <w:sz w:val="24"/>
          <w:lang w:val="sv-SE" w:eastAsia="ko-KR"/>
        </w:rPr>
        <w:t xml:space="preserve"> </w:t>
      </w:r>
      <w:r w:rsidR="001B0296">
        <w:rPr>
          <w:b/>
          <w:sz w:val="24"/>
          <w:lang w:val="sv-SE" w:eastAsia="ko-KR"/>
        </w:rPr>
        <w:t xml:space="preserve">   </w:t>
      </w:r>
      <w:bookmarkStart w:id="1" w:name="_GoBack"/>
      <w:r w:rsidR="001F06A4" w:rsidRPr="001F06A4">
        <w:rPr>
          <w:rFonts w:ascii="Arial" w:hAnsi="Arial"/>
          <w:b/>
          <w:i/>
          <w:sz w:val="32"/>
          <w:lang w:val="sv-SE" w:eastAsia="ko-KR"/>
        </w:rPr>
        <w:t>R2-1901758</w:t>
      </w:r>
      <w:bookmarkEnd w:id="1"/>
    </w:p>
    <w:p w14:paraId="524D4713" w14:textId="653E41BE" w:rsidR="009822B8" w:rsidRPr="00D85BA6" w:rsidRDefault="009822B8" w:rsidP="009822B8">
      <w:pPr>
        <w:pStyle w:val="a4"/>
        <w:widowControl w:val="0"/>
        <w:tabs>
          <w:tab w:val="clear" w:pos="4513"/>
          <w:tab w:val="clear" w:pos="9026"/>
          <w:tab w:val="left" w:pos="5807"/>
        </w:tabs>
        <w:snapToGrid/>
        <w:spacing w:after="0"/>
        <w:rPr>
          <w:rFonts w:ascii="Arial" w:hAnsi="Arial"/>
          <w:b/>
          <w:noProof/>
          <w:sz w:val="24"/>
          <w:lang w:val="en-US" w:eastAsia="ko-KR"/>
        </w:rPr>
      </w:pPr>
      <w:r w:rsidRPr="000B3D34">
        <w:rPr>
          <w:rFonts w:ascii="Arial" w:hAnsi="Arial"/>
          <w:b/>
          <w:noProof/>
          <w:sz w:val="24"/>
          <w:lang w:val="en-US" w:eastAsia="ko-KR"/>
        </w:rPr>
        <w:t>Athens, Greece, 25th February – 1st March 2019</w:t>
      </w:r>
      <w:r>
        <w:rPr>
          <w:rFonts w:ascii="Arial" w:hAnsi="Arial"/>
          <w:b/>
          <w:noProof/>
          <w:sz w:val="24"/>
          <w:lang w:val="en-US" w:eastAsia="ko-KR"/>
        </w:rPr>
        <w:t xml:space="preserve">          (</w:t>
      </w:r>
      <w:r>
        <w:rPr>
          <w:rFonts w:ascii="Arial" w:hAnsi="Arial" w:hint="eastAsia"/>
          <w:b/>
          <w:noProof/>
          <w:sz w:val="24"/>
          <w:lang w:val="en-US" w:eastAsia="ko-KR"/>
        </w:rPr>
        <w:t xml:space="preserve">Revision of </w:t>
      </w:r>
      <w:r w:rsidRPr="00B348B5">
        <w:rPr>
          <w:rFonts w:ascii="Arial" w:hAnsi="Arial"/>
          <w:b/>
          <w:i/>
          <w:noProof/>
          <w:sz w:val="24"/>
          <w:lang w:val="en-US" w:eastAsia="ko-KR"/>
        </w:rPr>
        <w:t>R2-</w:t>
      </w:r>
      <w:r w:rsidRPr="009822B8">
        <w:rPr>
          <w:rFonts w:ascii="Arial" w:hAnsi="Arial"/>
          <w:b/>
          <w:i/>
          <w:noProof/>
          <w:sz w:val="24"/>
          <w:lang w:val="en-US" w:eastAsia="ko-KR"/>
        </w:rPr>
        <w:t>1818157</w:t>
      </w:r>
      <w:r>
        <w:rPr>
          <w:rFonts w:ascii="Arial" w:hAnsi="Arial"/>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66F50AF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1279E0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8218E">
        <w:rPr>
          <w:rFonts w:ascii="Arial" w:hAnsi="Arial" w:cs="Arial"/>
          <w:b/>
          <w:noProof/>
          <w:sz w:val="28"/>
          <w:szCs w:val="28"/>
          <w:lang w:val="en-US" w:eastAsia="ko-KR"/>
        </w:rPr>
        <w:t>Enhanced b</w:t>
      </w:r>
      <w:r w:rsidR="0028218E" w:rsidRPr="0028218E">
        <w:rPr>
          <w:rFonts w:ascii="Arial" w:hAnsi="Arial" w:cs="Arial"/>
          <w:b/>
          <w:noProof/>
          <w:sz w:val="28"/>
          <w:szCs w:val="28"/>
          <w:lang w:val="en-US" w:eastAsia="ko-KR"/>
        </w:rPr>
        <w:t>eam failure detection operation 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D24E7B" w14:textId="181AE8F6" w:rsidR="008703E0" w:rsidRPr="001046B6" w:rsidRDefault="008703E0" w:rsidP="008703E0">
      <w:r>
        <w:t>According to the</w:t>
      </w:r>
      <w:r w:rsidRPr="006938F3">
        <w:t xml:space="preserve"> TR </w:t>
      </w:r>
      <w:r>
        <w:t xml:space="preserve">38.889, the descriptions regarding </w:t>
      </w:r>
      <w:r w:rsidR="00D91800">
        <w:t>the measurement of multiple beams</w:t>
      </w:r>
      <w:r>
        <w:t xml:space="preserve"> have been addressed as follows</w:t>
      </w:r>
      <w:r w:rsidRPr="001046B6">
        <w:t>:</w:t>
      </w:r>
    </w:p>
    <w:p w14:paraId="517BECD9" w14:textId="77777777" w:rsidR="008703E0" w:rsidRPr="008703E0" w:rsidRDefault="008703E0" w:rsidP="008703E0">
      <w:pPr>
        <w:pStyle w:val="5"/>
        <w:ind w:leftChars="55" w:left="610" w:hangingChars="250" w:hanging="500"/>
        <w:rPr>
          <w:i/>
        </w:rPr>
      </w:pPr>
      <w:bookmarkStart w:id="2" w:name="_Toc531343024"/>
      <w:r w:rsidRPr="008703E0">
        <w:rPr>
          <w:i/>
        </w:rPr>
        <w:t>7.2.2.3.1</w:t>
      </w:r>
      <w:r w:rsidRPr="008703E0">
        <w:rPr>
          <w:i/>
        </w:rPr>
        <w:tab/>
        <w:t>RLM/RLF and mobility (conn mode)</w:t>
      </w:r>
      <w:bookmarkEnd w:id="2"/>
    </w:p>
    <w:p w14:paraId="4454CF96" w14:textId="77777777" w:rsidR="008703E0" w:rsidRPr="008703E0" w:rsidRDefault="008703E0" w:rsidP="008703E0">
      <w:pPr>
        <w:rPr>
          <w:i/>
          <w:lang w:eastAsia="x-none"/>
        </w:rPr>
      </w:pPr>
      <w:r w:rsidRPr="008703E0">
        <w:rPr>
          <w:i/>
          <w:highlight w:val="yellow"/>
          <w:lang w:eastAsia="x-none"/>
        </w:rPr>
        <w:t>The RRM and RLM framework for NR-U will also support multiple beam operation</w:t>
      </w:r>
      <w:r w:rsidRPr="008703E0">
        <w:rPr>
          <w:i/>
          <w:lang w:eastAsia="x-none"/>
        </w:rPr>
        <w:t>.</w:t>
      </w:r>
      <w:r w:rsidRPr="008703E0">
        <w:rPr>
          <w:i/>
        </w:rPr>
        <w:t xml:space="preserve"> The measurement of multiple beams in NR-U will use the framework in TS 38.300 Section 9.2.4 as a baseline and the measurement model captured in Figure 9.2.4-1 is also applicable for NR-U.</w:t>
      </w:r>
    </w:p>
    <w:p w14:paraId="04AC852A" w14:textId="77777777" w:rsidR="008703E0" w:rsidRPr="008703E0" w:rsidRDefault="008703E0" w:rsidP="008703E0">
      <w:pPr>
        <w:rPr>
          <w:i/>
          <w:lang w:eastAsia="x-none"/>
        </w:rPr>
      </w:pPr>
      <w:r w:rsidRPr="00A92C12">
        <w:rPr>
          <w:i/>
          <w:highlight w:val="yellow"/>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D97408C" w14:textId="56D314E2" w:rsidR="00FA4453" w:rsidRPr="008703E0" w:rsidRDefault="008703E0" w:rsidP="008703E0">
      <w:r w:rsidRPr="008703E0">
        <w:rPr>
          <w:i/>
          <w:lang w:eastAsia="x-none"/>
        </w:rPr>
        <w:t xml:space="preserve">In addition to the existing measurement quantities, channel occupancy and RSSI, similar to adopted for LTE LAA, are considered useful. </w:t>
      </w:r>
    </w:p>
    <w:p w14:paraId="6D21EDA1" w14:textId="2B7072AE" w:rsidR="00A367D9" w:rsidRDefault="00A12C2F" w:rsidP="00A367D9">
      <w:pPr>
        <w:rPr>
          <w:lang w:eastAsia="ko-KR"/>
        </w:rPr>
      </w:pPr>
      <w:r>
        <w:t xml:space="preserve">In this contribution, </w:t>
      </w:r>
      <w:r w:rsidR="00A92C12">
        <w:t xml:space="preserve">we’d like to address the impact of RSs skipping due to LBT failure on the beam failure detection and </w:t>
      </w:r>
      <w:proofErr w:type="gramStart"/>
      <w:r w:rsidR="00A92C12">
        <w:t>recovery</w:t>
      </w:r>
      <w:proofErr w:type="gramEnd"/>
      <w:r w:rsidR="00A92C12">
        <w:t xml:space="preserve"> procedure</w:t>
      </w:r>
      <w:r w:rsidR="00A92C12">
        <w:rPr>
          <w:lang w:eastAsia="ko-KR"/>
        </w:rPr>
        <w:t>, and suggest to consider the enhanced beam failure detection and recovery</w:t>
      </w:r>
      <w:r w:rsidR="00A92C12" w:rsidRPr="00770EF3">
        <w:rPr>
          <w:lang w:eastAsia="ko-KR"/>
        </w:rPr>
        <w:t xml:space="preserve"> procedure </w:t>
      </w:r>
      <w:r w:rsidR="00A92C12">
        <w:rPr>
          <w:lang w:eastAsia="ko-KR"/>
        </w:rPr>
        <w:t>for NR-U.</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3" w:name="_Toc476230925"/>
    </w:p>
    <w:bookmarkEnd w:id="3"/>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w:t>
      </w:r>
      <w:proofErr w:type="spellStart"/>
      <w:r w:rsidR="00A12C2F">
        <w:t>SpCell</w:t>
      </w:r>
      <w:proofErr w:type="spellEnd"/>
      <w:r w:rsidR="00A12C2F">
        <w:t xml:space="preserve"> such as Pcell or </w:t>
      </w:r>
      <w:proofErr w:type="spellStart"/>
      <w:r w:rsidR="00A12C2F">
        <w:t>PSCell</w:t>
      </w:r>
      <w:proofErr w:type="spellEnd"/>
      <w:r w:rsidR="00A12C2F">
        <w:t>,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proofErr w:type="spellStart"/>
      <w:r w:rsidR="009D26D6" w:rsidRPr="00F72E89">
        <w:rPr>
          <w:i/>
          <w:lang w:eastAsia="ko-KR"/>
        </w:rPr>
        <w:t>beamFailureDetectionTimer</w:t>
      </w:r>
      <w:proofErr w:type="spellEnd"/>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99.5pt" o:ole="">
            <v:imagedata r:id="rId8" o:title=""/>
          </v:shape>
          <o:OLEObject Type="Embed" ProgID="Visio.Drawing.15" ShapeID="_x0000_i1025" DrawAspect="Content" ObjectID="_1611728571"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6" type="#_x0000_t75" style="width:442pt;height:102pt" o:ole="">
            <v:imagedata r:id="rId10" o:title=""/>
          </v:shape>
          <o:OLEObject Type="Embed" ProgID="Visio.Drawing.15" ShapeID="_x0000_i1026" DrawAspect="Content" ObjectID="_1611728572"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E699154"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w:t>
      </w:r>
      <w:r w:rsidR="00A92C12">
        <w:rPr>
          <w:lang w:eastAsia="ko-KR"/>
        </w:rPr>
        <w:t>discuss</w:t>
      </w:r>
      <w:r w:rsidR="00984205">
        <w:rPr>
          <w:lang w:eastAsia="ko-KR"/>
        </w:rPr>
        <w:t xml:space="preserve">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when the DL RSs are skipped due to LBT failures</w:t>
      </w:r>
      <w:r w:rsidR="00984205">
        <w:rPr>
          <w:lang w:eastAsia="ko-KR"/>
        </w:rPr>
        <w:t>.</w:t>
      </w:r>
      <w:r w:rsidR="00013451">
        <w:rPr>
          <w:lang w:eastAsia="ko-KR"/>
        </w:rPr>
        <w:t xml:space="preserve"> For example, we can consider the enhanced BFD operation when MAC layer receives the RS skipping indication from PHY layer.</w:t>
      </w:r>
    </w:p>
    <w:p w14:paraId="402FA222" w14:textId="54FC8DCB" w:rsidR="00984205" w:rsidRPr="00A92C12" w:rsidRDefault="00984205" w:rsidP="00A92C12">
      <w:pPr>
        <w:spacing w:after="120"/>
        <w:rPr>
          <w:b/>
        </w:rPr>
      </w:pPr>
      <w:r>
        <w:rPr>
          <w:b/>
        </w:rPr>
        <w:t xml:space="preserve">Proposal. </w:t>
      </w:r>
      <w:r w:rsidR="00A92C12">
        <w:rPr>
          <w:b/>
        </w:rPr>
        <w:t>RAN2 discuss</w:t>
      </w:r>
      <w:r>
        <w:rPr>
          <w:b/>
        </w:rPr>
        <w:t xml:space="preserve"> the impacts on the BFD parameters when the DL RSs are skipped due to LBT failures</w:t>
      </w:r>
      <w:r w:rsidR="00A92C12">
        <w:rPr>
          <w:b/>
        </w:rPr>
        <w:t>, and consider the enhanced BFD procedure for NR-U</w:t>
      </w:r>
      <w:r>
        <w:rPr>
          <w:b/>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490C442D" w14:textId="77777777" w:rsidR="00A92C12" w:rsidRPr="00A92C12" w:rsidRDefault="00A92C12" w:rsidP="00A92C12">
      <w:pPr>
        <w:spacing w:after="120"/>
        <w:rPr>
          <w:b/>
        </w:rPr>
      </w:pPr>
      <w:r>
        <w:rPr>
          <w:b/>
        </w:rPr>
        <w:t>Proposal. RAN2 discuss the impacts on the BFD parameters when the DL RSs are skipped due to LBT failures, and consider the enhanced BFD procedure for NR-U.</w:t>
      </w:r>
    </w:p>
    <w:p w14:paraId="660C0048" w14:textId="0EB48877" w:rsidR="00984205" w:rsidRPr="00A92C12" w:rsidRDefault="00984205" w:rsidP="00C545A3">
      <w:pPr>
        <w:spacing w:after="120"/>
        <w:rPr>
          <w:b/>
          <w:i/>
        </w:rPr>
      </w:pPr>
    </w:p>
    <w:sectPr w:rsidR="00984205" w:rsidRPr="00A92C12">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D2FC3" w14:textId="77777777" w:rsidR="00A65E47" w:rsidRDefault="00A65E47">
      <w:pPr>
        <w:spacing w:after="0"/>
      </w:pPr>
      <w:r>
        <w:separator/>
      </w:r>
    </w:p>
  </w:endnote>
  <w:endnote w:type="continuationSeparator" w:id="0">
    <w:p w14:paraId="29BDCF29" w14:textId="77777777" w:rsidR="00A65E47" w:rsidRDefault="00A65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B0296">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12D26" w14:textId="77777777" w:rsidR="00A65E47" w:rsidRDefault="00A65E47">
      <w:pPr>
        <w:spacing w:after="0"/>
      </w:pPr>
      <w:r>
        <w:separator/>
      </w:r>
    </w:p>
  </w:footnote>
  <w:footnote w:type="continuationSeparator" w:id="0">
    <w:p w14:paraId="5D7BA3E5" w14:textId="77777777" w:rsidR="00A65E47" w:rsidRDefault="00A65E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451"/>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296"/>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6A4"/>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4B3"/>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22B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5E47"/>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4F8C"/>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DF2EA-C4E1-4D45-BD3D-772D5882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4</cp:revision>
  <dcterms:created xsi:type="dcterms:W3CDTF">2019-02-13T04:08:00Z</dcterms:created>
  <dcterms:modified xsi:type="dcterms:W3CDTF">2019-02-15T00:30:00Z</dcterms:modified>
</cp:coreProperties>
</file>